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110"/>
        <w:gridCol w:w="1843"/>
        <w:gridCol w:w="3827"/>
      </w:tblGrid>
      <w:tr w:rsidR="00DA3AD0" w:rsidRPr="00DA3AD0" w:rsidTr="00661838">
        <w:trPr>
          <w:trHeight w:val="2135"/>
        </w:trPr>
        <w:tc>
          <w:tcPr>
            <w:tcW w:w="4110" w:type="dxa"/>
            <w:hideMark/>
          </w:tcPr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Баш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к</w:t>
            </w:r>
            <w:r w:rsidRPr="00DA3AD0">
              <w:rPr>
                <w:rFonts w:cs="MS Gothic"/>
                <w:sz w:val="28"/>
                <w:szCs w:val="28"/>
                <w:lang w:eastAsia="en-US"/>
              </w:rPr>
              <w:t>ортостан Республи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к</w:t>
            </w:r>
            <w:r w:rsidRPr="00DA3AD0">
              <w:rPr>
                <w:rFonts w:cs="MS Gothic"/>
                <w:sz w:val="28"/>
                <w:szCs w:val="28"/>
                <w:lang w:eastAsia="en-US"/>
              </w:rPr>
              <w:t>а</w:t>
            </w:r>
            <w:proofErr w:type="gramStart"/>
            <w:r w:rsidRPr="00DA3AD0">
              <w:rPr>
                <w:rFonts w:cs="MS Gothic"/>
                <w:sz w:val="28"/>
                <w:szCs w:val="28"/>
                <w:lang w:val="en-US" w:eastAsia="en-US"/>
              </w:rPr>
              <w:t>h</w:t>
            </w:r>
            <w:proofErr w:type="gramEnd"/>
            <w:r w:rsidRPr="00DA3AD0">
              <w:rPr>
                <w:rFonts w:cs="MS Gothic"/>
                <w:sz w:val="28"/>
                <w:szCs w:val="28"/>
                <w:lang w:eastAsia="en-US"/>
              </w:rPr>
              <w:t>ы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Миш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кә</w:t>
            </w:r>
            <w:proofErr w:type="spellEnd"/>
            <w:r w:rsidRPr="00DA3AD0">
              <w:rPr>
                <w:rFonts w:cs="MS Gothic"/>
                <w:sz w:val="28"/>
                <w:szCs w:val="28"/>
                <w:lang w:eastAsia="en-US"/>
              </w:rPr>
              <w:t xml:space="preserve"> районы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Муниципаль</w:t>
            </w:r>
            <w:proofErr w:type="spellEnd"/>
            <w:r w:rsidRPr="00DA3AD0">
              <w:rPr>
                <w:rFonts w:cs="MS Gothic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районынын</w:t>
            </w:r>
            <w:proofErr w:type="spellEnd"/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Оло</w:t>
            </w:r>
            <w:proofErr w:type="spellEnd"/>
            <w:r w:rsidRPr="00DA3AD0">
              <w:rPr>
                <w:rFonts w:cs="MS Gothic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Сухояз</w:t>
            </w:r>
            <w:proofErr w:type="spellEnd"/>
            <w:r w:rsidRPr="00DA3AD0">
              <w:rPr>
                <w:rFonts w:cs="MS Gothic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ауыл</w:t>
            </w:r>
            <w:proofErr w:type="spellEnd"/>
            <w:r w:rsidRPr="00DA3AD0">
              <w:rPr>
                <w:rFonts w:cs="MS Gothic"/>
                <w:sz w:val="28"/>
                <w:szCs w:val="28"/>
                <w:lang w:eastAsia="en-US"/>
              </w:rPr>
              <w:t xml:space="preserve"> советы 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Ауыл</w:t>
            </w:r>
            <w:proofErr w:type="spellEnd"/>
            <w:r w:rsidRPr="00DA3AD0">
              <w:rPr>
                <w:rFonts w:cs="MS Gothic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бил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ә</w:t>
            </w:r>
            <w:proofErr w:type="gramStart"/>
            <w:r w:rsidRPr="00DA3AD0">
              <w:rPr>
                <w:rFonts w:cs="MS Gothic"/>
                <w:sz w:val="28"/>
                <w:szCs w:val="28"/>
                <w:lang w:eastAsia="en-US"/>
              </w:rPr>
              <w:t>м</w:t>
            </w:r>
            <w:proofErr w:type="gramEnd"/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ә</w:t>
            </w:r>
            <w:proofErr w:type="spellEnd"/>
            <w:r w:rsidRPr="00DA3AD0">
              <w:rPr>
                <w:rFonts w:ascii="Baskerville Old Face" w:hAnsi="Baskerville Old Face" w:cs="MS Gothic"/>
                <w:sz w:val="28"/>
                <w:szCs w:val="28"/>
                <w:lang w:val="en-US" w:eastAsia="en-US"/>
              </w:rPr>
              <w:t>h</w:t>
            </w:r>
            <w:r w:rsidRPr="00DA3AD0">
              <w:rPr>
                <w:rFonts w:cs="MS Gothic"/>
                <w:sz w:val="28"/>
                <w:szCs w:val="28"/>
                <w:lang w:eastAsia="en-US"/>
              </w:rPr>
              <w:t>е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proofErr w:type="spellStart"/>
            <w:r w:rsidRPr="00DA3AD0">
              <w:rPr>
                <w:rFonts w:cs="MS Gothic"/>
                <w:sz w:val="28"/>
                <w:szCs w:val="28"/>
                <w:lang w:eastAsia="en-US"/>
              </w:rPr>
              <w:t>Х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әк</w:t>
            </w:r>
            <w:r w:rsidRPr="00DA3AD0">
              <w:rPr>
                <w:rFonts w:cs="MS Gothic"/>
                <w:sz w:val="28"/>
                <w:szCs w:val="28"/>
                <w:lang w:eastAsia="en-US"/>
              </w:rPr>
              <w:t>ими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ә</w:t>
            </w:r>
            <w:r w:rsidRPr="00DA3AD0">
              <w:rPr>
                <w:rFonts w:cs="MS Gothic"/>
                <w:sz w:val="28"/>
                <w:szCs w:val="28"/>
                <w:lang w:eastAsia="en-US"/>
              </w:rPr>
              <w:t>т</w:t>
            </w:r>
            <w:r w:rsidRPr="00DA3AD0">
              <w:rPr>
                <w:rFonts w:ascii="a_Timer Bashkir" w:hAnsi="a_Timer Bashkir" w:cs="MS Gothic"/>
                <w:sz w:val="28"/>
                <w:szCs w:val="28"/>
                <w:lang w:eastAsia="en-US"/>
              </w:rPr>
              <w:t>е</w:t>
            </w:r>
            <w:proofErr w:type="spellEnd"/>
          </w:p>
          <w:p w:rsidR="00DA3AD0" w:rsidRPr="00DA3AD0" w:rsidRDefault="00DA3AD0" w:rsidP="00DA3AD0">
            <w:pPr>
              <w:jc w:val="center"/>
              <w:rPr>
                <w:rFonts w:cs="MS Gothic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DA3AD0" w:rsidRPr="00DA3AD0" w:rsidRDefault="00DA3AD0" w:rsidP="00DA3AD0">
            <w:pPr>
              <w:spacing w:line="276" w:lineRule="auto"/>
              <w:ind w:right="-107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noProof/>
                <w:sz w:val="28"/>
                <w:szCs w:val="28"/>
              </w:rPr>
              <w:drawing>
                <wp:inline distT="0" distB="0" distL="0" distR="0" wp14:anchorId="142382AD" wp14:editId="3158D5D4">
                  <wp:extent cx="985520" cy="1223010"/>
                  <wp:effectExtent l="0" t="0" r="5080" b="0"/>
                  <wp:docPr id="1" name="Рисунок 1" descr="Описание: Герб меньшего разме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Герб меньшего разме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Администрация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Сельского поселения</w:t>
            </w:r>
          </w:p>
          <w:p w:rsidR="00DA3AD0" w:rsidRPr="00DA3AD0" w:rsidRDefault="00DA3AD0" w:rsidP="00DA3AD0">
            <w:pPr>
              <w:ind w:left="-107"/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Большесухоязовский сельсовет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Муниципального района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Мишкинский район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  <w:r w:rsidRPr="00DA3AD0">
              <w:rPr>
                <w:rFonts w:cs="MS Gothic"/>
                <w:sz w:val="28"/>
                <w:szCs w:val="28"/>
                <w:lang w:eastAsia="en-US"/>
              </w:rPr>
              <w:t>Республика Башкортостан</w:t>
            </w:r>
          </w:p>
          <w:p w:rsidR="00DA3AD0" w:rsidRPr="00DA3AD0" w:rsidRDefault="00DA3AD0" w:rsidP="00DA3AD0">
            <w:pPr>
              <w:jc w:val="center"/>
              <w:rPr>
                <w:rFonts w:cs="MS Gothic"/>
                <w:sz w:val="28"/>
                <w:szCs w:val="28"/>
                <w:lang w:eastAsia="en-US"/>
              </w:rPr>
            </w:pPr>
          </w:p>
        </w:tc>
      </w:tr>
    </w:tbl>
    <w:p w:rsidR="00DA3AD0" w:rsidRPr="00DA3AD0" w:rsidRDefault="00DA3AD0" w:rsidP="00DA3AD0">
      <w:pPr>
        <w:pBdr>
          <w:bottom w:val="single" w:sz="12" w:space="1" w:color="auto"/>
        </w:pBdr>
        <w:rPr>
          <w:rFonts w:cs="MS Gothic"/>
          <w:sz w:val="22"/>
          <w:szCs w:val="22"/>
        </w:rPr>
      </w:pPr>
    </w:p>
    <w:p w:rsidR="00DA3AD0" w:rsidRPr="00DA3AD0" w:rsidRDefault="00DA3AD0" w:rsidP="00DA3AD0">
      <w:pPr>
        <w:rPr>
          <w:rFonts w:cs="MS Gothic"/>
          <w:sz w:val="12"/>
          <w:szCs w:val="28"/>
        </w:rPr>
      </w:pPr>
    </w:p>
    <w:p w:rsidR="00DA3AD0" w:rsidRPr="00DA3AD0" w:rsidRDefault="00DA3AD0" w:rsidP="00DA3AD0">
      <w:pPr>
        <w:rPr>
          <w:rFonts w:cs="MS Gothic"/>
          <w:bCs/>
          <w:sz w:val="28"/>
          <w:szCs w:val="28"/>
        </w:rPr>
      </w:pPr>
      <w:r w:rsidRPr="00DA3AD0">
        <w:rPr>
          <w:bCs/>
          <w:sz w:val="40"/>
          <w:szCs w:val="28"/>
          <w:lang w:val="ba-RU"/>
        </w:rPr>
        <w:t xml:space="preserve">   ҡ</w:t>
      </w:r>
      <w:r w:rsidRPr="00DA3AD0">
        <w:rPr>
          <w:bCs/>
          <w:sz w:val="28"/>
          <w:szCs w:val="28"/>
        </w:rPr>
        <w:t>АРАР</w:t>
      </w:r>
      <w:r w:rsidRPr="00DA3AD0">
        <w:rPr>
          <w:rFonts w:cs="MS Gothic"/>
          <w:bCs/>
          <w:sz w:val="28"/>
          <w:szCs w:val="28"/>
        </w:rPr>
        <w:t xml:space="preserve">                                                                              ПОСТАНОВЛЕНИЕ</w:t>
      </w:r>
    </w:p>
    <w:p w:rsidR="00DA3AD0" w:rsidRPr="00DA3AD0" w:rsidRDefault="00DA3AD0" w:rsidP="00DA3AD0">
      <w:pPr>
        <w:rPr>
          <w:rFonts w:cs="MS Gothic"/>
          <w:bCs/>
          <w:sz w:val="28"/>
          <w:szCs w:val="28"/>
        </w:rPr>
      </w:pPr>
    </w:p>
    <w:p w:rsidR="00DA3AD0" w:rsidRPr="00DA3AD0" w:rsidRDefault="00DA3AD0" w:rsidP="00DA3AD0">
      <w:pPr>
        <w:jc w:val="center"/>
        <w:rPr>
          <w:rFonts w:cs="MS Gothic"/>
          <w:sz w:val="28"/>
          <w:szCs w:val="28"/>
        </w:rPr>
      </w:pPr>
      <w:r>
        <w:rPr>
          <w:rFonts w:cs="MS Gothic"/>
          <w:sz w:val="28"/>
          <w:szCs w:val="28"/>
        </w:rPr>
        <w:t>20</w:t>
      </w:r>
      <w:r w:rsidRPr="00DA3AD0">
        <w:rPr>
          <w:rFonts w:cs="MS Gothic"/>
          <w:sz w:val="28"/>
          <w:szCs w:val="28"/>
        </w:rPr>
        <w:t xml:space="preserve"> </w:t>
      </w:r>
      <w:r>
        <w:rPr>
          <w:rFonts w:cs="MS Gothic"/>
          <w:sz w:val="28"/>
          <w:szCs w:val="28"/>
        </w:rPr>
        <w:t>июнь</w:t>
      </w:r>
      <w:r w:rsidRPr="00DA3AD0">
        <w:rPr>
          <w:rFonts w:cs="MS Gothic"/>
          <w:b/>
          <w:sz w:val="28"/>
          <w:szCs w:val="28"/>
        </w:rPr>
        <w:t xml:space="preserve"> </w:t>
      </w:r>
      <w:r w:rsidRPr="00DA3AD0">
        <w:rPr>
          <w:rFonts w:cs="MS Gothic"/>
          <w:sz w:val="28"/>
          <w:szCs w:val="28"/>
        </w:rPr>
        <w:t xml:space="preserve">2024 й.                             № </w:t>
      </w:r>
      <w:r>
        <w:rPr>
          <w:rFonts w:cs="MS Gothic"/>
          <w:sz w:val="28"/>
          <w:szCs w:val="28"/>
        </w:rPr>
        <w:t>43</w:t>
      </w:r>
      <w:r w:rsidRPr="00DA3AD0">
        <w:rPr>
          <w:rFonts w:cs="MS Gothic"/>
          <w:sz w:val="28"/>
          <w:szCs w:val="28"/>
        </w:rPr>
        <w:t xml:space="preserve">                    </w:t>
      </w:r>
      <w:r>
        <w:rPr>
          <w:rFonts w:cs="MS Gothic"/>
          <w:sz w:val="28"/>
          <w:szCs w:val="28"/>
        </w:rPr>
        <w:t>20 июня</w:t>
      </w:r>
      <w:r w:rsidRPr="00DA3AD0">
        <w:rPr>
          <w:rFonts w:cs="MS Gothic"/>
          <w:sz w:val="28"/>
          <w:szCs w:val="28"/>
        </w:rPr>
        <w:t xml:space="preserve"> 2024 г.</w:t>
      </w:r>
    </w:p>
    <w:p w:rsidR="00DA3AD0" w:rsidRPr="00DA3AD0" w:rsidRDefault="00DA3AD0" w:rsidP="00DA3AD0">
      <w:pPr>
        <w:jc w:val="both"/>
        <w:rPr>
          <w:rFonts w:cs="MS Gothic"/>
          <w:sz w:val="28"/>
          <w:szCs w:val="28"/>
        </w:rPr>
      </w:pPr>
    </w:p>
    <w:p w:rsidR="00DA3AD0" w:rsidRDefault="00DA3AD0" w:rsidP="00DA3A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D0" w:rsidRDefault="00DA3AD0" w:rsidP="00DA3A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D0" w:rsidRDefault="00DA3AD0" w:rsidP="00DA3A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антинаркотического плана администрации  </w:t>
      </w:r>
    </w:p>
    <w:p w:rsidR="00DA3AD0" w:rsidRDefault="00DA3AD0" w:rsidP="00DA3A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Большесухоязовский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Мишкинский район </w:t>
      </w:r>
    </w:p>
    <w:p w:rsidR="00DA3AD0" w:rsidRDefault="00DA3AD0" w:rsidP="00DA3A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Башкортостан на 2024 год </w:t>
      </w:r>
    </w:p>
    <w:p w:rsidR="00DA3AD0" w:rsidRDefault="00DA3AD0" w:rsidP="00DA3AD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AD0" w:rsidRDefault="00DA3AD0" w:rsidP="00DA3AD0">
      <w:pPr>
        <w:ind w:firstLine="54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 целях реализации пункта 46 Стратегии государственной антинаркотической политики Российской Федерации до 2030 года, утвержденной Указом</w:t>
      </w: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 Президента Российской Федерации от 23 ноября 2020 года № 733 и в соответствии с Уставом сельского поселения </w:t>
      </w:r>
      <w:r>
        <w:rPr>
          <w:rFonts w:cs="Courier New"/>
          <w:sz w:val="28"/>
          <w:szCs w:val="28"/>
        </w:rPr>
        <w:t>Большесухоязовский</w:t>
      </w:r>
      <w:r>
        <w:rPr>
          <w:rFonts w:cs="Courier New"/>
          <w:sz w:val="28"/>
          <w:szCs w:val="28"/>
        </w:rPr>
        <w:t xml:space="preserve"> сельсовет,  </w:t>
      </w:r>
      <w:proofErr w:type="gramStart"/>
      <w:r>
        <w:rPr>
          <w:rFonts w:cs="Courier New"/>
          <w:sz w:val="28"/>
          <w:szCs w:val="28"/>
        </w:rPr>
        <w:t>п</w:t>
      </w:r>
      <w:proofErr w:type="gramEnd"/>
      <w:r>
        <w:rPr>
          <w:rFonts w:cs="Courier New"/>
          <w:sz w:val="28"/>
          <w:szCs w:val="28"/>
        </w:rPr>
        <w:t xml:space="preserve"> о с т а н о в л я ю:</w:t>
      </w:r>
    </w:p>
    <w:p w:rsidR="00DA3AD0" w:rsidRDefault="00DA3AD0" w:rsidP="00DA3AD0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антинаркотический план администрации сельского поселения </w:t>
      </w:r>
      <w:r>
        <w:rPr>
          <w:rFonts w:ascii="Times New Roman" w:hAnsi="Times New Roman"/>
          <w:sz w:val="28"/>
          <w:szCs w:val="28"/>
        </w:rPr>
        <w:t>Большесухоязовский</w:t>
      </w:r>
      <w:r>
        <w:rPr>
          <w:rFonts w:ascii="Times New Roman" w:hAnsi="Times New Roman"/>
          <w:sz w:val="28"/>
          <w:szCs w:val="28"/>
        </w:rPr>
        <w:t xml:space="preserve"> сельсовет  на 2024 год.</w:t>
      </w:r>
    </w:p>
    <w:p w:rsidR="00DA3AD0" w:rsidRDefault="00DA3AD0" w:rsidP="00DA3A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постановление  на информационном стенде администрации сельского поселения </w:t>
      </w:r>
      <w:r>
        <w:rPr>
          <w:sz w:val="28"/>
          <w:szCs w:val="28"/>
        </w:rPr>
        <w:t>Большесухоязовский</w:t>
      </w:r>
      <w:r>
        <w:rPr>
          <w:sz w:val="28"/>
          <w:szCs w:val="28"/>
        </w:rPr>
        <w:t xml:space="preserve"> сельсовет по адресу: д.</w:t>
      </w:r>
      <w:r>
        <w:rPr>
          <w:sz w:val="28"/>
          <w:szCs w:val="28"/>
        </w:rPr>
        <w:t xml:space="preserve"> Большесухоязово</w:t>
      </w:r>
      <w:r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д.25 и разместить на официальном сайте муниципального района Мишкинский район Республики Башкортостан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  <w:lang w:val="en-US"/>
          </w:rPr>
          <w:t>mishkan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(поселения - </w:t>
      </w:r>
      <w:r>
        <w:rPr>
          <w:sz w:val="28"/>
          <w:szCs w:val="28"/>
        </w:rPr>
        <w:t>Большесухоязовский</w:t>
      </w:r>
      <w:r>
        <w:rPr>
          <w:sz w:val="28"/>
          <w:szCs w:val="28"/>
        </w:rPr>
        <w:t>).</w:t>
      </w:r>
    </w:p>
    <w:p w:rsidR="00DA3AD0" w:rsidRDefault="00DA3AD0" w:rsidP="00DA3AD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исполнения настоящего решения оставляю за собой.</w:t>
      </w:r>
      <w:r>
        <w:rPr>
          <w:sz w:val="28"/>
          <w:szCs w:val="28"/>
        </w:rPr>
        <w:tab/>
      </w:r>
    </w:p>
    <w:p w:rsidR="00DA3AD0" w:rsidRDefault="00DA3AD0" w:rsidP="00DA3AD0">
      <w:pPr>
        <w:rPr>
          <w:sz w:val="28"/>
          <w:szCs w:val="28"/>
        </w:rPr>
      </w:pPr>
    </w:p>
    <w:p w:rsidR="00DA3AD0" w:rsidRDefault="00DA3AD0" w:rsidP="00DA3AD0">
      <w:pPr>
        <w:rPr>
          <w:sz w:val="28"/>
          <w:szCs w:val="28"/>
        </w:rPr>
      </w:pPr>
    </w:p>
    <w:p w:rsidR="00DA3AD0" w:rsidRDefault="00DA3AD0" w:rsidP="00DA3AD0">
      <w:pPr>
        <w:rPr>
          <w:sz w:val="28"/>
          <w:szCs w:val="28"/>
        </w:rPr>
      </w:pPr>
    </w:p>
    <w:p w:rsidR="00DA3AD0" w:rsidRDefault="00DA3AD0" w:rsidP="00DA3AD0">
      <w:pPr>
        <w:rPr>
          <w:sz w:val="28"/>
          <w:szCs w:val="28"/>
        </w:rPr>
      </w:pPr>
    </w:p>
    <w:p w:rsidR="00DA3AD0" w:rsidRDefault="00DA3AD0" w:rsidP="00DA3AD0">
      <w:pPr>
        <w:rPr>
          <w:sz w:val="28"/>
        </w:rPr>
      </w:pPr>
      <w:r>
        <w:rPr>
          <w:sz w:val="28"/>
        </w:rPr>
        <w:t xml:space="preserve">Глава сельского поселения                                                         </w:t>
      </w:r>
      <w:r>
        <w:rPr>
          <w:sz w:val="28"/>
        </w:rPr>
        <w:t>С.Г. Сергеев</w:t>
      </w:r>
    </w:p>
    <w:p w:rsidR="00DA3AD0" w:rsidRDefault="00DA3AD0" w:rsidP="00DA3AD0">
      <w:pPr>
        <w:rPr>
          <w:sz w:val="28"/>
        </w:rPr>
      </w:pPr>
    </w:p>
    <w:p w:rsidR="00DA3AD0" w:rsidRDefault="00DA3AD0" w:rsidP="00DA3AD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</w:p>
    <w:p w:rsidR="00DA3AD0" w:rsidRDefault="00DA3AD0" w:rsidP="00DA3AD0">
      <w:pPr>
        <w:ind w:firstLine="426"/>
        <w:jc w:val="both"/>
        <w:rPr>
          <w:sz w:val="28"/>
          <w:szCs w:val="28"/>
        </w:rPr>
      </w:pPr>
    </w:p>
    <w:p w:rsidR="00DA3AD0" w:rsidRDefault="00DA3AD0" w:rsidP="00DA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AD0" w:rsidRDefault="00DA3AD0" w:rsidP="00DA3AD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AD0" w:rsidRDefault="00DA3AD0" w:rsidP="00DA3A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3AD0" w:rsidRDefault="00DA3AD0" w:rsidP="00DA3AD0">
      <w:pPr>
        <w:jc w:val="right"/>
      </w:pPr>
      <w:r>
        <w:lastRenderedPageBreak/>
        <w:t xml:space="preserve">Приложение </w:t>
      </w:r>
    </w:p>
    <w:p w:rsidR="00DA3AD0" w:rsidRDefault="00DA3AD0" w:rsidP="00DA3AD0">
      <w:pPr>
        <w:ind w:left="5580"/>
        <w:jc w:val="right"/>
      </w:pPr>
      <w:r>
        <w:t>к постановлению главы</w:t>
      </w:r>
    </w:p>
    <w:p w:rsidR="00DA3AD0" w:rsidRDefault="00DA3AD0" w:rsidP="00DA3AD0">
      <w:pPr>
        <w:ind w:left="5580"/>
        <w:jc w:val="right"/>
      </w:pPr>
      <w:r>
        <w:t xml:space="preserve">      сельского поселения                             </w:t>
      </w:r>
      <w:r>
        <w:t>Большесухоязовский</w:t>
      </w:r>
      <w:r>
        <w:t xml:space="preserve"> сельсовет</w:t>
      </w:r>
    </w:p>
    <w:p w:rsidR="00DA3AD0" w:rsidRDefault="00DA3AD0" w:rsidP="00DA3AD0">
      <w:pPr>
        <w:ind w:left="5580"/>
        <w:jc w:val="right"/>
      </w:pPr>
      <w:r>
        <w:t xml:space="preserve">от </w:t>
      </w:r>
      <w:r>
        <w:t xml:space="preserve">20 июня </w:t>
      </w:r>
      <w:r>
        <w:t xml:space="preserve"> 2024 г. № </w:t>
      </w:r>
      <w:r>
        <w:t>43</w:t>
      </w:r>
    </w:p>
    <w:p w:rsidR="00DA3AD0" w:rsidRDefault="00DA3AD0" w:rsidP="00DA3AD0">
      <w:pPr>
        <w:jc w:val="right"/>
        <w:rPr>
          <w:sz w:val="28"/>
          <w:szCs w:val="28"/>
        </w:rPr>
      </w:pPr>
    </w:p>
    <w:p w:rsidR="00DA3AD0" w:rsidRDefault="00DA3AD0" w:rsidP="00DA3AD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Антинаркотический план </w:t>
      </w:r>
    </w:p>
    <w:p w:rsidR="00DA3AD0" w:rsidRDefault="00DA3AD0" w:rsidP="00DA3AD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сельского поселения  </w:t>
      </w:r>
    </w:p>
    <w:p w:rsidR="00DA3AD0" w:rsidRDefault="00DA3AD0" w:rsidP="00DA3AD0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Большесухоязовский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2024 год</w:t>
      </w:r>
    </w:p>
    <w:p w:rsidR="00DA3AD0" w:rsidRDefault="00DA3AD0" w:rsidP="00DA3AD0">
      <w:pPr>
        <w:ind w:left="-284"/>
        <w:jc w:val="center"/>
        <w:rPr>
          <w:sz w:val="28"/>
          <w:szCs w:val="28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98"/>
        <w:gridCol w:w="2653"/>
        <w:gridCol w:w="2698"/>
      </w:tblGrid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  заседаниях Межведомственной антинаркотической комиссии  муниципального района Мишкинский район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в каждом учреждении (ДОУ, школа, культура) плана по профилактике негативных явлений в молодежной среде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2024 год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клубы, библиотеки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собраний жителей населенных пунктов сельского поселения с целью разъяснения административной и уголовной ответственности за незаконное культивирование растений, содержащих наркотические вещества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октябрь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A3AD0" w:rsidRDefault="00DA3AD0" w:rsidP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ления</w:t>
            </w:r>
            <w:proofErr w:type="spellEnd"/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образовательными учреждениями по вопросам профилактики наркомании, токсикомании, алкоголизма и </w:t>
            </w: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  <w:r>
              <w:rPr>
                <w:sz w:val="28"/>
                <w:szCs w:val="28"/>
              </w:rPr>
              <w:t xml:space="preserve"> на территории поселения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  руководители образовательных учреждений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раннему выявлению детей и подростков «группы риска», причин социальной и школьной </w:t>
            </w:r>
            <w:proofErr w:type="spellStart"/>
            <w:r>
              <w:rPr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школы, участковый уполномоченный полиции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Патронаж семей с </w:t>
            </w:r>
            <w:r>
              <w:rPr>
                <w:sz w:val="28"/>
                <w:szCs w:val="28"/>
              </w:rPr>
              <w:lastRenderedPageBreak/>
              <w:t>несовершеннолетними детьми, находящихся в социально опасном положении или иной трудной жизненной ситуации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СП,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школа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332E2D"/>
                <w:spacing w:val="2"/>
                <w:sz w:val="28"/>
                <w:szCs w:val="28"/>
              </w:rPr>
              <w:t>Проведение мероприятий по пропаганде здорового образа жизни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 </w:t>
            </w:r>
            <w:proofErr w:type="gramStart"/>
            <w:r>
              <w:rPr>
                <w:sz w:val="28"/>
                <w:szCs w:val="28"/>
              </w:rPr>
              <w:t>сельского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поселе-ния</w:t>
            </w:r>
            <w:proofErr w:type="spellEnd"/>
            <w:r>
              <w:rPr>
                <w:sz w:val="28"/>
                <w:szCs w:val="28"/>
              </w:rPr>
              <w:t xml:space="preserve">, руководители образовательных и культурных организаций (по согласованию) 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совместных рейдов в местах скопления подростков и молодежи, включая дискотеки,   для выявления  лиц, находящихся  в состоянии наркотического и алкогольного опьянения и допускающих немедицинское  употребление наркотических средств и ПАВ 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 участковый уполномоченный полиции, школы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по торговым точкам, занимающихся реализацией алкогольной продукции и пива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СП, 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уполномоченный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332E2D"/>
                <w:spacing w:val="2"/>
                <w:sz w:val="28"/>
                <w:szCs w:val="28"/>
              </w:rPr>
              <w:t>Подготовка волонтеров из числа старшеклассников для работы по распространению ценностей здорового образа жизни и по профилактике употребления наркотиков</w:t>
            </w:r>
            <w:r>
              <w:rPr>
                <w:color w:val="332E2D"/>
                <w:spacing w:val="2"/>
                <w:sz w:val="28"/>
                <w:szCs w:val="28"/>
              </w:rPr>
              <w:br/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поселения, школы (по согласованию)</w:t>
            </w:r>
          </w:p>
        </w:tc>
      </w:tr>
      <w:tr w:rsidR="00DA3AD0" w:rsidTr="00DA3AD0">
        <w:trPr>
          <w:trHeight w:val="1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 сельской  библиотеке по профилактике наркомании (информационные стенды, читательские конференции).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 ноябрь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Школы, библиотеки (по согласованию)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A3AD0" w:rsidTr="00DA3AD0">
        <w:trPr>
          <w:trHeight w:val="126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книжных выставок в библиотеке по профилактике наркомании, проведение читательских конференций. 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«Будущее без наркотиков»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2.«Цена зависимости – жизнь»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всего года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Библиотеки</w:t>
            </w:r>
          </w:p>
          <w:p w:rsidR="00DA3AD0" w:rsidRDefault="00DA3AD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конкурса рисунков «Нет наркотикам» среди школьников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соревнований, турниров, а также участие в районных соревнованиях по отдельным видам спорта (районные первенства), спартакиады </w:t>
            </w:r>
            <w:proofErr w:type="gramStart"/>
            <w:r>
              <w:rPr>
                <w:sz w:val="28"/>
                <w:szCs w:val="28"/>
              </w:rPr>
              <w:t>среди</w:t>
            </w:r>
            <w:proofErr w:type="gramEnd"/>
            <w:r>
              <w:rPr>
                <w:sz w:val="28"/>
                <w:szCs w:val="28"/>
              </w:rPr>
              <w:t xml:space="preserve"> обучающихся «Спорт без наркотиков!»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 (по согласованию)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Размещение информации по пропаганде здорового образа жизни, профилактике наркомании, токсикомании, алкоголизма и </w:t>
            </w:r>
            <w:proofErr w:type="spellStart"/>
            <w:r>
              <w:rPr>
                <w:sz w:val="28"/>
                <w:szCs w:val="28"/>
                <w:lang w:bidi="ru-RU"/>
              </w:rPr>
              <w:t>табакокурения</w:t>
            </w:r>
            <w:proofErr w:type="spellEnd"/>
            <w:r>
              <w:rPr>
                <w:sz w:val="28"/>
                <w:szCs w:val="28"/>
                <w:lang w:bidi="ru-RU"/>
              </w:rPr>
              <w:t>: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на официальном сайте поселения;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на информационных стендах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DA3AD0" w:rsidTr="00DA3AD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Ведение разъяснительной-профилактической работы среди граждан, состоящих на учете (ранее судимые, </w:t>
            </w:r>
            <w:proofErr w:type="gramStart"/>
            <w:r>
              <w:rPr>
                <w:sz w:val="28"/>
                <w:szCs w:val="28"/>
                <w:lang w:bidi="ru-RU"/>
              </w:rPr>
              <w:t>условно-осужденные</w:t>
            </w:r>
            <w:proofErr w:type="gramEnd"/>
            <w:r>
              <w:rPr>
                <w:sz w:val="28"/>
                <w:szCs w:val="28"/>
                <w:lang w:bidi="ru-RU"/>
              </w:rPr>
              <w:t>, условно-досрочно освобожденные), склонных к совершению правонарушений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СП, 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уполномоченный</w:t>
            </w:r>
          </w:p>
          <w:p w:rsidR="00DA3AD0" w:rsidRDefault="00DA3A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по согласованию)</w:t>
            </w:r>
          </w:p>
        </w:tc>
      </w:tr>
    </w:tbl>
    <w:p w:rsidR="00DA3AD0" w:rsidRDefault="00DA3AD0" w:rsidP="00DA3AD0">
      <w:pPr>
        <w:ind w:firstLine="708"/>
        <w:rPr>
          <w:sz w:val="28"/>
          <w:szCs w:val="28"/>
          <w:lang w:val="be-BY"/>
        </w:rPr>
      </w:pPr>
    </w:p>
    <w:p w:rsidR="00DA3AD0" w:rsidRPr="00DA3AD0" w:rsidRDefault="00DA3AD0" w:rsidP="00DA3AD0">
      <w:pPr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И.о.у</w:t>
      </w:r>
      <w:r w:rsidRPr="00DA3AD0">
        <w:rPr>
          <w:sz w:val="26"/>
          <w:szCs w:val="26"/>
          <w:lang w:val="be-BY"/>
        </w:rPr>
        <w:t xml:space="preserve">правляющий делами                                                                 </w:t>
      </w:r>
      <w:r>
        <w:rPr>
          <w:sz w:val="26"/>
          <w:szCs w:val="26"/>
          <w:lang w:val="be-BY"/>
        </w:rPr>
        <w:t>М.Р. Исанбаева</w:t>
      </w:r>
      <w:bookmarkStart w:id="0" w:name="_GoBack"/>
      <w:bookmarkEnd w:id="0"/>
    </w:p>
    <w:p w:rsidR="00AB1B5D" w:rsidRDefault="00AB1B5D"/>
    <w:sectPr w:rsidR="00AB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D0"/>
    <w:rsid w:val="00AB1B5D"/>
    <w:rsid w:val="00D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A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3AD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A3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3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A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A3AD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A3AD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DA3A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3A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3A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shka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2024-06-28T10:09:00Z</cp:lastPrinted>
  <dcterms:created xsi:type="dcterms:W3CDTF">2024-06-28T10:04:00Z</dcterms:created>
  <dcterms:modified xsi:type="dcterms:W3CDTF">2024-06-28T10:10:00Z</dcterms:modified>
</cp:coreProperties>
</file>