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F5" w:rsidRDefault="00FE2926" w:rsidP="00793DD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Приложение № 2 к распоряжению </w:t>
      </w:r>
    </w:p>
    <w:p w:rsidR="00C95CF5" w:rsidRDefault="00FE2926" w:rsidP="00793DD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Администрации </w:t>
      </w:r>
      <w:r w:rsidR="00C95C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</w:t>
      </w:r>
    </w:p>
    <w:p w:rsidR="00C95CF5" w:rsidRDefault="00C95CF5" w:rsidP="00793DD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Большесухоязовский сельсовет</w:t>
      </w:r>
    </w:p>
    <w:p w:rsidR="00C95CF5" w:rsidRDefault="00C95CF5" w:rsidP="00793DD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FE2926"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</w:t>
      </w:r>
    </w:p>
    <w:p w:rsidR="00FE2926" w:rsidRPr="00FE2926" w:rsidRDefault="00FE2926" w:rsidP="00793DD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район Республики Башкортостан </w:t>
      </w:r>
    </w:p>
    <w:p w:rsidR="00FE2926" w:rsidRDefault="00C95CF5" w:rsidP="00793DD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«16» 01 . 2014</w:t>
      </w:r>
      <w:r w:rsidR="00FE2926"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г. </w:t>
      </w:r>
    </w:p>
    <w:p w:rsidR="00FE2926" w:rsidRPr="00FE2926" w:rsidRDefault="00FE2926" w:rsidP="00FE29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926" w:rsidRPr="00FE2926" w:rsidRDefault="00FE2926" w:rsidP="00FE29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Правила рассмотрения запросов </w:t>
      </w:r>
    </w:p>
    <w:p w:rsidR="00FE2926" w:rsidRPr="00FE2926" w:rsidRDefault="00FE2926" w:rsidP="00FE29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субъектов персональных данных или их представителей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Настоящими Правилами регулируются отношения, связанные с рассмотрением запросов субъектов персональных данных или их представителей, направленных в Администрацию </w:t>
      </w:r>
      <w:r w:rsidR="00C95C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Республики Башкортостан (далее – Оператор).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В целях настоящих Правил под субъектами персональных данных понимаются: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2.1. </w:t>
      </w:r>
      <w:proofErr w:type="gramStart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Работники Администрации </w:t>
      </w:r>
      <w:r w:rsidR="00C95C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муниципального района Мишкинский район Республики Башкортостан (муниципальные служащие аппарата Администрации</w:t>
      </w:r>
      <w:r w:rsidR="00C95C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Большесухоязовский сельсовет </w:t>
      </w: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муниципального района Мишкинский район Республики Башкортостан, работники, занимающие должности, не отнесенные к должностям муниципальной службы в Аппарате Администрации </w:t>
      </w:r>
      <w:r w:rsidR="00C95C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сельского поселения Большесухоязовский сельсовет м</w:t>
      </w: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униципального района, работающие по срочному трудовому договору. </w:t>
      </w:r>
      <w:r w:rsidR="00C95C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End"/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2.2. Физические лица, обращающиеся в Администрацию</w:t>
      </w:r>
      <w:r w:rsidR="00C95C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Большесухоязовский сельсовет </w:t>
      </w: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муниципального района Мишкинский район Республики Башкортостан в рамках Федерального закона от 02.05.2006 № 59-ФЗ «О порядке рассмотрения обращений граждан Российской Федерации».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2.4. Физические лица, состоящие в гражданско-правовых отношениях с Администрацией </w:t>
      </w:r>
      <w:r w:rsidR="00C95C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Республики Башкортостан.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2.5. Физические лица, персональные данные которых необходимы для присвоения им почетных званий, награждения Почетными грамотами, объявления Благодарности Совета и Администрации муниципального района Мишкинский район Республики Башкортостан и т.п. в соответствии с муниципальными правовыми актами Администрации муниципального района Мишкинский район Республики Башкортостан.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3.1. Подтверждение факта обработки персональных данных оператором.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3.2. Правовые основания и цели обработки персональных данных.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3.3. Цели и применяемые оператором способы обработки персональных данных.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3.4.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3.6. Сроки обработки персональных данных, в том числе сроки их хранения.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3.7. Порядок осуществления субъектом персональных данных прав, предусмотренных Федеральным законом от 2707.2006 № 152-ФЗ «О персональных данных».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3.8. Информацию </w:t>
      </w:r>
      <w:proofErr w:type="gramStart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</w:t>
      </w:r>
      <w:proofErr w:type="gramEnd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осуществленной</w:t>
      </w:r>
      <w:proofErr w:type="gramEnd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о предполагаемой трансграничной передаче данных.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3.9.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3.10. Иные сведения, предусмотренные действующим законодательством.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Право субъекта персональных данных на доступ к его персональным данным может быть ограничено в соответствии с действующим законодательством.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</w:t>
      </w:r>
      <w:proofErr w:type="gramStart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Оператор обязан в случаях, предусмотренных </w:t>
      </w:r>
      <w:hyperlink r:id="rId4" w:history="1">
        <w:r w:rsidRPr="00FE2926">
          <w:rPr>
            <w:rFonts w:ascii="Verdana" w:eastAsia="Times New Roman" w:hAnsi="Verdana" w:cs="Times New Roman"/>
            <w:color w:val="B51621"/>
            <w:sz w:val="18"/>
            <w:u w:val="single"/>
            <w:lang w:eastAsia="ru-RU"/>
          </w:rPr>
          <w:t>действующим</w:t>
        </w:r>
      </w:hyperlink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законодательством, сообщить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либо его законного представителя в течение десяти рабочих дней с даты получения запроса субъекта персональных данных либо его законного представителя на имя</w:t>
      </w:r>
      <w:proofErr w:type="gramEnd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Главы Администрации</w:t>
      </w:r>
      <w:r w:rsidR="00C95C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Большесухоязовский сельсовет </w:t>
      </w: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муниципального района Мишкинский район Республики Башкортостан.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6. </w:t>
      </w:r>
      <w:proofErr w:type="gramStart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</w:t>
      </w: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</w:t>
      </w:r>
      <w:hyperlink r:id="rId5" w:history="1">
        <w:r w:rsidRPr="00FE2926">
          <w:rPr>
            <w:rFonts w:ascii="Verdana" w:eastAsia="Times New Roman" w:hAnsi="Verdana" w:cs="Times New Roman"/>
            <w:color w:val="B51621"/>
            <w:sz w:val="18"/>
            <w:u w:val="single"/>
            <w:lang w:eastAsia="ru-RU"/>
          </w:rPr>
          <w:t>законодательством</w:t>
        </w:r>
      </w:hyperlink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Российской Федерации.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В случае</w:t>
      </w:r>
      <w:proofErr w:type="gramStart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сведения, указанные в пункте 3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сведений, указанных в пункте 3 настоящих Правил,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выгодоприобретателем</w:t>
      </w:r>
      <w:proofErr w:type="spellEnd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поручителем по которому является субъект персональных данных.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Ответ на повторный запрос субъекта персональных данных или его представителя дается в срок, указанный в пункте 5 настоящих Правил.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8. </w:t>
      </w:r>
      <w:proofErr w:type="gramStart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Субъект персональных данных вправе обратиться повторно к оператору или направить ему повторный запрос в целях получения сведений, указанных в пункте 3 настоящих Правил, а также в целях ознакомления с обрабатываемыми персональными данными до истечения срока, указанного в пункте 7 настоящих Правил, в случае, если такие сведения и (или) обрабатываемые персональные данные не были предоставлены ему для ознакомления в полном объеме</w:t>
      </w:r>
      <w:proofErr w:type="gramEnd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результатам рассмотрения первоначального обращения. Повторный запрос наряду со сведениями, указанными в пункте 3 настоящих Правил, должен содержать обоснование направления повторного запроса.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Ответ на повторный запрос субъекта персональных данных или его представителя, в случае если запрашиваемые сведения были предоставлены не в полном объеме по результатам рассмотрения первоначального обращения, дается в пятидневный срок со дня получения соответствующего запроса.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9. Оператор вправе отказать субъекту персональных данных в выполнении повторного запроса, не соответствующего условиям, предусмотренным </w:t>
      </w:r>
      <w:hyperlink r:id="rId6" w:history="1">
        <w:r w:rsidRPr="00FE2926">
          <w:rPr>
            <w:rFonts w:ascii="Verdana" w:eastAsia="Times New Roman" w:hAnsi="Verdana" w:cs="Times New Roman"/>
            <w:color w:val="B51621"/>
            <w:sz w:val="18"/>
            <w:u w:val="single"/>
            <w:lang w:eastAsia="ru-RU"/>
          </w:rPr>
          <w:t>пунктами 7</w:t>
        </w:r>
      </w:hyperlink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hyperlink r:id="rId7" w:history="1">
        <w:r w:rsidRPr="00FE2926">
          <w:rPr>
            <w:rFonts w:ascii="Verdana" w:eastAsia="Times New Roman" w:hAnsi="Verdana" w:cs="Times New Roman"/>
            <w:color w:val="B51621"/>
            <w:sz w:val="18"/>
            <w:u w:val="single"/>
            <w:lang w:eastAsia="ru-RU"/>
          </w:rPr>
          <w:t>8</w:t>
        </w:r>
      </w:hyperlink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Отказ в выполнении запроса должен быть направлен в пятидневный срок со дня получения запроса.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Рассмотрение запросов субъектов персональных данных или их представителей, выполнение запросов или выдача отказов в выполнении запросов осуществляется управляющим де</w:t>
      </w:r>
      <w:r w:rsidR="00C95C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</w:t>
      </w: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ами Администрации </w:t>
      </w:r>
      <w:r w:rsidR="00C95C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 </w:t>
      </w: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11. Запросы субъектов персональных данных или их представителей регистрируются в журнале учета обращений субъектов персональных данных о выполнении их законных прав в области защиты персональных данных, который ведется управляющим делами и специалистом по кадровой работе.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журнале фиксируются сведения о лице, направившем запрос, дата передачи персональных данных или дата уведомления об отказе в их предоставлении, а также </w:t>
      </w:r>
      <w:proofErr w:type="gramStart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отмечается какая именно информация была</w:t>
      </w:r>
      <w:proofErr w:type="gramEnd"/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передана. </w:t>
      </w:r>
    </w:p>
    <w:p w:rsid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Форма </w:t>
      </w:r>
      <w:hyperlink r:id="rId8" w:history="1">
        <w:r w:rsidRPr="00FE2926">
          <w:rPr>
            <w:rFonts w:ascii="Verdana" w:eastAsia="Times New Roman" w:hAnsi="Verdana" w:cs="Times New Roman"/>
            <w:color w:val="B51621"/>
            <w:sz w:val="18"/>
            <w:u w:val="single"/>
            <w:lang w:eastAsia="ru-RU"/>
          </w:rPr>
          <w:t>журнала</w:t>
        </w:r>
      </w:hyperlink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учета обращений субъектов персональных данных о выполнении их законных прав в области защиты персональных данных является приложением к настоящим Правилам.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Управляющий делами </w:t>
      </w:r>
      <w:r w:rsidR="00C95C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А.М.Сергеева</w:t>
      </w:r>
    </w:p>
    <w:p w:rsidR="00FE2926" w:rsidRDefault="00FE2926" w:rsidP="00793DD8">
      <w:pPr>
        <w:jc w:val="both"/>
      </w:pP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Приложение к Правилам рассмотрения </w:t>
      </w:r>
    </w:p>
    <w:p w:rsidR="00FE2926" w:rsidRP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запросов субъектов персональных данных </w:t>
      </w:r>
    </w:p>
    <w:p w:rsidR="00FE2926" w:rsidRDefault="00FE2926" w:rsidP="00793D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или их представителей </w:t>
      </w:r>
    </w:p>
    <w:p w:rsidR="00FE2926" w:rsidRDefault="00FE2926" w:rsidP="00FE29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926" w:rsidRPr="00FE2926" w:rsidRDefault="00FE2926" w:rsidP="00FE29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926" w:rsidRPr="00FE2926" w:rsidRDefault="00FE2926" w:rsidP="00FE29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Журнал </w:t>
      </w:r>
    </w:p>
    <w:p w:rsidR="00FE2926" w:rsidRPr="00FE2926" w:rsidRDefault="00FE2926" w:rsidP="00FE29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учета обращений субъектов персональных данных о выполнении </w:t>
      </w:r>
    </w:p>
    <w:p w:rsidR="00FE2926" w:rsidRPr="00FE2926" w:rsidRDefault="00FE2926" w:rsidP="00FE29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их законных прав в области защиты персональных данных </w:t>
      </w:r>
    </w:p>
    <w:tbl>
      <w:tblPr>
        <w:tblW w:w="10770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351"/>
        <w:gridCol w:w="1569"/>
        <w:gridCol w:w="1257"/>
        <w:gridCol w:w="1381"/>
        <w:gridCol w:w="1520"/>
        <w:gridCol w:w="1551"/>
        <w:gridCol w:w="1638"/>
        <w:gridCol w:w="1503"/>
      </w:tblGrid>
      <w:tr w:rsidR="00FE2926" w:rsidRPr="00FE2926" w:rsidTr="00FE2926">
        <w:trPr>
          <w:tblCellSpacing w:w="0" w:type="dxa"/>
        </w:trPr>
        <w:tc>
          <w:tcPr>
            <w:tcW w:w="3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569" w:type="dxa"/>
            <w:hideMark/>
          </w:tcPr>
          <w:p w:rsidR="00FE2926" w:rsidRPr="00FE2926" w:rsidRDefault="00FE2926" w:rsidP="00FE2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о запрашивающем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лице </w:t>
            </w:r>
          </w:p>
        </w:tc>
        <w:tc>
          <w:tcPr>
            <w:tcW w:w="1257" w:type="dxa"/>
            <w:hideMark/>
          </w:tcPr>
          <w:p w:rsidR="00FE2926" w:rsidRPr="00FE2926" w:rsidRDefault="00FE2926" w:rsidP="00FE2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Краткое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содержание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обращения </w:t>
            </w:r>
          </w:p>
        </w:tc>
        <w:tc>
          <w:tcPr>
            <w:tcW w:w="1381" w:type="dxa"/>
            <w:hideMark/>
          </w:tcPr>
          <w:p w:rsidR="00FE2926" w:rsidRPr="00FE2926" w:rsidRDefault="00FE2926" w:rsidP="00FE2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Цель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получения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информации </w:t>
            </w:r>
          </w:p>
        </w:tc>
        <w:tc>
          <w:tcPr>
            <w:tcW w:w="1520" w:type="dxa"/>
            <w:hideMark/>
          </w:tcPr>
          <w:p w:rsidR="00FE2926" w:rsidRPr="00FE2926" w:rsidRDefault="00FE2926" w:rsidP="00FE2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Отметка о передаче или отказе в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предоставлении информации </w:t>
            </w:r>
          </w:p>
        </w:tc>
        <w:tc>
          <w:tcPr>
            <w:tcW w:w="1551" w:type="dxa"/>
            <w:hideMark/>
          </w:tcPr>
          <w:p w:rsidR="00FE2926" w:rsidRPr="00FE2926" w:rsidRDefault="00FE2926" w:rsidP="00FE2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передачи/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отказа в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предоставлении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информации </w:t>
            </w:r>
          </w:p>
        </w:tc>
        <w:tc>
          <w:tcPr>
            <w:tcW w:w="1638" w:type="dxa"/>
            <w:hideMark/>
          </w:tcPr>
          <w:p w:rsidR="00FE2926" w:rsidRPr="00FE2926" w:rsidRDefault="00FE2926" w:rsidP="00FE2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запрашивающего лица/ </w:t>
            </w:r>
          </w:p>
          <w:p w:rsidR="00FE2926" w:rsidRPr="00FE2926" w:rsidRDefault="00FE2926" w:rsidP="00FE2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реквизиты запроса </w:t>
            </w:r>
          </w:p>
        </w:tc>
        <w:tc>
          <w:tcPr>
            <w:tcW w:w="1503" w:type="dxa"/>
            <w:hideMark/>
          </w:tcPr>
          <w:p w:rsidR="00FE2926" w:rsidRPr="00FE2926" w:rsidRDefault="00FE2926" w:rsidP="00FE2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ответственного </w:t>
            </w:r>
            <w:r w:rsidRPr="00FE2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сотрудника </w:t>
            </w:r>
          </w:p>
        </w:tc>
      </w:tr>
      <w:tr w:rsidR="00FE2926" w:rsidRPr="00FE2926" w:rsidTr="00FE2926">
        <w:trPr>
          <w:tblCellSpacing w:w="0" w:type="dxa"/>
        </w:trPr>
        <w:tc>
          <w:tcPr>
            <w:tcW w:w="3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2926" w:rsidRPr="00FE2926" w:rsidTr="00FE2926">
        <w:trPr>
          <w:tblCellSpacing w:w="0" w:type="dxa"/>
        </w:trPr>
        <w:tc>
          <w:tcPr>
            <w:tcW w:w="3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2926" w:rsidRPr="00FE2926" w:rsidTr="00FE2926">
        <w:trPr>
          <w:tblCellSpacing w:w="0" w:type="dxa"/>
        </w:trPr>
        <w:tc>
          <w:tcPr>
            <w:tcW w:w="3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2926" w:rsidRPr="00FE2926" w:rsidTr="00FE2926">
        <w:trPr>
          <w:tblCellSpacing w:w="0" w:type="dxa"/>
        </w:trPr>
        <w:tc>
          <w:tcPr>
            <w:tcW w:w="3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2926" w:rsidRPr="00FE2926" w:rsidTr="00FE2926">
        <w:trPr>
          <w:tblCellSpacing w:w="0" w:type="dxa"/>
        </w:trPr>
        <w:tc>
          <w:tcPr>
            <w:tcW w:w="3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2926" w:rsidRPr="00FE2926" w:rsidTr="00FE2926">
        <w:trPr>
          <w:tblCellSpacing w:w="0" w:type="dxa"/>
        </w:trPr>
        <w:tc>
          <w:tcPr>
            <w:tcW w:w="3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2926" w:rsidRPr="00FE2926" w:rsidTr="00FE2926">
        <w:trPr>
          <w:tblCellSpacing w:w="0" w:type="dxa"/>
        </w:trPr>
        <w:tc>
          <w:tcPr>
            <w:tcW w:w="3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2926" w:rsidRPr="00FE2926" w:rsidTr="00FE2926">
        <w:trPr>
          <w:tblCellSpacing w:w="0" w:type="dxa"/>
        </w:trPr>
        <w:tc>
          <w:tcPr>
            <w:tcW w:w="3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2926" w:rsidRPr="00FE2926" w:rsidTr="00FE2926">
        <w:trPr>
          <w:tblCellSpacing w:w="0" w:type="dxa"/>
        </w:trPr>
        <w:tc>
          <w:tcPr>
            <w:tcW w:w="3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hideMark/>
          </w:tcPr>
          <w:p w:rsidR="00FE2926" w:rsidRPr="00FE2926" w:rsidRDefault="00FE2926" w:rsidP="00FE29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93DD8" w:rsidRDefault="00793DD8" w:rsidP="00FE29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93DD8" w:rsidRDefault="00793DD8" w:rsidP="00FE29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926" w:rsidRPr="00793DD8" w:rsidRDefault="00FE2926" w:rsidP="00793DD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Управляющий делами </w:t>
      </w:r>
      <w:r w:rsidR="00C95C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А.М.Сергеева</w:t>
      </w:r>
    </w:p>
    <w:sectPr w:rsidR="00FE2926" w:rsidRPr="00793DD8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26"/>
    <w:rsid w:val="00133BD8"/>
    <w:rsid w:val="005C1C5D"/>
    <w:rsid w:val="00781319"/>
    <w:rsid w:val="00793DD8"/>
    <w:rsid w:val="00BF3F42"/>
    <w:rsid w:val="00C95CF5"/>
    <w:rsid w:val="00FE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926"/>
    <w:rPr>
      <w:color w:val="B516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AFAB76A2190F2920D3FA712660C7CCFD49E28ACACCEF5D1FE43D69A21D0A448598005BC5A6236F9AE74DA7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32A8545377D7E1CB51E602F78378D8C8D86E61803861399850C380347BBD534F68CFFA363E313FoFu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2A8545377D7E1CB51E602F78378D8C8D86E61803861399850C380347BBD534F68CFFA363E313FoFuEH" TargetMode="External"/><Relationship Id="rId5" Type="http://schemas.openxmlformats.org/officeDocument/2006/relationships/hyperlink" Target="consultantplus://offline/ref=5C17CEAD2BB00F74066FAE545D0AED4A2A2F59669D3C23C2B54798A4F2V8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CDD666530CDE3B3538A094BE7FA3569AF4C0779559BF4C4CDBEA3C9FBk9M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2020-08-11T10:56:00Z</cp:lastPrinted>
  <dcterms:created xsi:type="dcterms:W3CDTF">2014-02-25T09:14:00Z</dcterms:created>
  <dcterms:modified xsi:type="dcterms:W3CDTF">2020-08-11T10:56:00Z</dcterms:modified>
</cp:coreProperties>
</file>